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3972"/>
      </w:tblGrid>
      <w:tr w:rsidR="001541D2" w:rsidRPr="005A1443" w:rsidTr="00823B76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1541D2" w:rsidRPr="005A1443" w:rsidRDefault="001541D2" w:rsidP="0015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vinorelbine</w:t>
            </w:r>
            <w:proofErr w:type="spellEnd"/>
            <w:r w:rsidRPr="0015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5A1443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1541D2" w:rsidRPr="005A1443" w:rsidRDefault="001541D2" w:rsidP="001541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rapportés comme des cas non isolés sont listés ci-après par classe système organe et par fréquence.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fréquences sont définies comme suit : très fréquent (&gt;= 1/10), fréquent (&gt;= 1/100, &lt; 1/10), peu fréquent (&gt;= 1/1000, &lt; 1/100), rare (&gt;= 1/10 000, &lt; 1/1000), très rare (&lt; 1/10 000) selon la convention de fréquence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MedDRA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 classification par système organe.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effets indésirables le plus fréquemment rapportés sont : dépression médullaire avec neutropénie, anémie, troubles neurologiques, toxicité gastro-intestinale avec nausées, vomissements, stomatites et constipation, élévations transitoires des enzymes hépatiques, alopécie et phlébites locales. Les effets indésirables additionnels rapportés après commercialisation ont été ajoutés selon la classification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MedDRA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une fréquence indéterminée.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2"/>
        <w:gridCol w:w="5659"/>
      </w:tblGrid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&gt;= 1/10 </w:t>
            </w:r>
          </w:p>
        </w:tc>
      </w:tr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&gt;= 1/100, &lt; 1/10 </w:t>
            </w:r>
          </w:p>
        </w:tc>
      </w:tr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&gt;= 1/1000, &lt; 1/100 </w:t>
            </w:r>
          </w:p>
        </w:tc>
      </w:tr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&gt;= 1/10 000, &lt; 1/1000 </w:t>
            </w:r>
          </w:p>
        </w:tc>
      </w:tr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&lt; 1/10 000 </w:t>
            </w:r>
          </w:p>
        </w:tc>
      </w:tr>
      <w:tr w:rsidR="001541D2" w:rsidRPr="005A1443" w:rsidTr="00823B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2" w:rsidRPr="005A1443" w:rsidRDefault="001541D2" w:rsidP="0082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A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Cas rapportés post-AMM </w:t>
            </w:r>
          </w:p>
        </w:tc>
      </w:tr>
    </w:tbl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Information détaillée </w:t>
      </w:r>
      <w:proofErr w:type="gram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proofErr w:type="gram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réactions sont décrites selon la classification OMS (grade 1 = G1 ; grade 2 = G2 ; grade 3 = G3 ; grade 4 = G4 ; grade 1-4 = G1-4 ; grade 1-2 = G1-2 ; grade 3-4 = G3-4).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Infections et infestations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 : </w:t>
      </w:r>
    </w:p>
    <w:p w:rsidR="001541D2" w:rsidRPr="005A1443" w:rsidRDefault="001541D2" w:rsidP="001541D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Infection bactérienne, virale ou fongique à différentes localisations (respiratoire, urinaire, gastro-intestinale...), d'intensité légère à modérée et habituellement réversible après un traitement approprié.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 : </w:t>
      </w:r>
    </w:p>
    <w:p w:rsidR="001541D2" w:rsidRPr="005A1443" w:rsidRDefault="001541D2" w:rsidP="001541D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Sepsis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sévère avec défaillance viscérale.</w:t>
      </w:r>
    </w:p>
    <w:p w:rsidR="001541D2" w:rsidRPr="005A1443" w:rsidRDefault="001541D2" w:rsidP="001541D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Septicémie.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rare : </w:t>
      </w:r>
    </w:p>
    <w:p w:rsidR="001541D2" w:rsidRPr="005A1443" w:rsidRDefault="001541D2" w:rsidP="001541D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Septicémie compliquée et parfois fatale.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Neutropénie septique.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hématologiques et du système lymphatique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Dépressions médullaires osseuses entraînant surtout des neutropénies (G3 : 24,3 % ; G4 : 27,8 %), réversibles dans les 5 à 7 jours qui suivent l'arrêt du traitement et non cumulative.</w:t>
      </w:r>
    </w:p>
    <w:p w:rsidR="001541D2" w:rsidRPr="005A1443" w:rsidRDefault="001541D2" w:rsidP="001541D2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Anémie (G3-4 : 7,4 %).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 : </w:t>
      </w:r>
    </w:p>
    <w:p w:rsidR="001541D2" w:rsidRPr="005A1443" w:rsidRDefault="001541D2" w:rsidP="001541D2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Thrombopénie (G3-4 : 2,5 %) rarement sévère.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Neutropénie fébrile.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du système immunitaire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Réactions allergiques systémiques telles que anaphylaxie, choc anaphylactique ou réaction de type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anaphylactoïde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endocriniennes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Sécrétion inappropriée de l'hormone antidiurétique (SIADH).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Troubles du métabolisme et de la nutrition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Hyponatrémie sévère.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Anorexie.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du système nerveux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Troubles neurologiques (G3-4 : 2,7 %) incluant l'abolition des réflexes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ostéotendineux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541D2" w:rsidRPr="005A1443" w:rsidRDefault="001541D2" w:rsidP="001541D2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un traitement prolongé, des cas de faiblesse des membres inférieurs ont été rapportés.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 : </w:t>
      </w:r>
    </w:p>
    <w:p w:rsidR="001541D2" w:rsidRPr="005A1443" w:rsidRDefault="001541D2" w:rsidP="001541D2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Paresthésies sévères avec troubles de la sensibilité et/ou moteurs.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effets sont généralement réversibles à l'arrêt du traitement. 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cardiaques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Cardiopathies ischémiques (angor, infarctus du myocarde).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Très rare : </w:t>
      </w:r>
    </w:p>
    <w:p w:rsidR="001541D2" w:rsidRPr="005A1443" w:rsidRDefault="001541D2" w:rsidP="001541D2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Tachycardie, palpitation et troubles du rythme cardiaque.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vasculaires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 : </w:t>
      </w:r>
    </w:p>
    <w:p w:rsidR="001541D2" w:rsidRPr="005A1443" w:rsidRDefault="001541D2" w:rsidP="001541D2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Hypotension, hypertension, bouffées vasomotrices et refroidissement des extrémités.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Hypotension sévère, collapsus.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Affections respiratoires, thoraciques et </w:t>
      </w:r>
      <w:proofErr w:type="spellStart"/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médiastinales</w:t>
      </w:r>
      <w:proofErr w:type="spellEnd"/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 : </w:t>
      </w:r>
    </w:p>
    <w:p w:rsidR="001541D2" w:rsidRPr="005A1443" w:rsidRDefault="001541D2" w:rsidP="001541D2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les autres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vinca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-alcaloïdes,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susceptible d'entraîner des états dyspnéiques et un bronchospasme.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Pneumopathies interstitielles en particulier chez des patients traités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association avec la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mitomycine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C.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gastro-intestinales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Stomatite (G1-4 : 15 %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monothérapie).</w:t>
      </w:r>
    </w:p>
    <w:p w:rsidR="001541D2" w:rsidRPr="005A1443" w:rsidRDefault="001541D2" w:rsidP="001541D2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Nausées, vomissements (G1-2 : 30,4 % et G3-4 : 2,2 %) ; la survenue de nausées et de vomissements peut être diminuée par un traitement antiémétique.</w:t>
      </w:r>
    </w:p>
    <w:p w:rsidR="001541D2" w:rsidRPr="005A1443" w:rsidRDefault="001541D2" w:rsidP="001541D2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constipation est le principal symptôme (G3-4 : 2,7 %), évoluant rarement jusqu'à l'iléus paralytique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monothérapie et (G3-4 : 4,1 %)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association avec d'autres cytotoxiques.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 : </w:t>
      </w:r>
    </w:p>
    <w:p w:rsidR="001541D2" w:rsidRPr="005A1443" w:rsidRDefault="001541D2" w:rsidP="001541D2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Diarrhée habituellement légère à modérée.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Iléus paralytique ; le traitement peut être repris dès retour à la normale de la motricité intestinale.</w:t>
      </w:r>
    </w:p>
    <w:p w:rsidR="001541D2" w:rsidRPr="005A1443" w:rsidRDefault="001541D2" w:rsidP="001541D2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Pancréatite.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Affections hépatobiliaires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Élévations transitoires des enzymes hépatiques (G1-2) sans symptôme clinique (SGOT 27,6 % et SGPT 29,3 %).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lastRenderedPageBreak/>
        <w:t>Affections de la peau et du tissu sous-cutané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Alopécie généralement d'intensité légère (G3-4 : 4,1 % en monothérapie).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Réactions cutanées généralisées.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Indéterminé : </w:t>
      </w:r>
    </w:p>
    <w:p w:rsidR="001541D2" w:rsidRPr="005A1443" w:rsidRDefault="001541D2" w:rsidP="001541D2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Érythème des pieds et mains.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Affections </w:t>
      </w:r>
      <w:proofErr w:type="spellStart"/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musculosquelettiques</w:t>
      </w:r>
      <w:proofErr w:type="spellEnd"/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et systémiques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 : </w:t>
      </w:r>
    </w:p>
    <w:p w:rsidR="001541D2" w:rsidRPr="005A1443" w:rsidRDefault="001541D2" w:rsidP="001541D2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Arthralgie incluant douleur de la mâchoire et myalgie.</w:t>
      </w:r>
    </w:p>
    <w:p w:rsidR="001541D2" w:rsidRPr="005A1443" w:rsidRDefault="001541D2" w:rsidP="0015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Troubles généraux et anomalies au site d'administration :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 : </w:t>
      </w:r>
    </w:p>
    <w:p w:rsidR="001541D2" w:rsidRPr="005A1443" w:rsidRDefault="001541D2" w:rsidP="001541D2">
      <w:pPr>
        <w:numPr>
          <w:ilvl w:val="0"/>
          <w:numId w:val="2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réactions observées au point d'injection peuvent être des érythèmes, des sensations de brûlure, une décoloration de la veine et des phlébites localisées (G3-4 : 3,7 %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monothérapie).</w:t>
      </w:r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 : </w:t>
      </w:r>
    </w:p>
    <w:p w:rsidR="001541D2" w:rsidRPr="005A1443" w:rsidRDefault="001541D2" w:rsidP="001541D2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Asthénie, fatigue, fièvre, douleurs de localisations variées incluant la poitrine et le site de la tumeur ont été observées chez les patients recevant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Vinorelbine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</w:p>
    <w:p w:rsidR="001541D2" w:rsidRPr="005A1443" w:rsidRDefault="001541D2" w:rsidP="001541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 : </w:t>
      </w:r>
    </w:p>
    <w:p w:rsidR="001541D2" w:rsidRPr="005A1443" w:rsidRDefault="001541D2" w:rsidP="001541D2">
      <w:pPr>
        <w:numPr>
          <w:ilvl w:val="0"/>
          <w:numId w:val="3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Nécroses locales. Ces effets peuvent être limités par un bon positionnement de l'aiguille ou du cathéter dans la veine ainsi qu'une injection en </w:t>
      </w:r>
      <w:proofErr w:type="spellStart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bolus</w:t>
      </w:r>
      <w:proofErr w:type="spellEnd"/>
      <w:r w:rsidRPr="005A14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suivi par un rinçage de la veine.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3C"/>
    <w:multiLevelType w:val="multilevel"/>
    <w:tmpl w:val="26E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1523"/>
    <w:multiLevelType w:val="multilevel"/>
    <w:tmpl w:val="34F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10923"/>
    <w:multiLevelType w:val="multilevel"/>
    <w:tmpl w:val="8E7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7146C"/>
    <w:multiLevelType w:val="multilevel"/>
    <w:tmpl w:val="68A4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14DDF"/>
    <w:multiLevelType w:val="multilevel"/>
    <w:tmpl w:val="5FE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8243C"/>
    <w:multiLevelType w:val="multilevel"/>
    <w:tmpl w:val="AE3C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61E08"/>
    <w:multiLevelType w:val="multilevel"/>
    <w:tmpl w:val="7CA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F0E2C"/>
    <w:multiLevelType w:val="multilevel"/>
    <w:tmpl w:val="C3B4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E4074"/>
    <w:multiLevelType w:val="multilevel"/>
    <w:tmpl w:val="D59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E78CB"/>
    <w:multiLevelType w:val="multilevel"/>
    <w:tmpl w:val="8AE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E0B96"/>
    <w:multiLevelType w:val="multilevel"/>
    <w:tmpl w:val="309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D3AE5"/>
    <w:multiLevelType w:val="multilevel"/>
    <w:tmpl w:val="43B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306D3"/>
    <w:multiLevelType w:val="multilevel"/>
    <w:tmpl w:val="E7AE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91DC6"/>
    <w:multiLevelType w:val="multilevel"/>
    <w:tmpl w:val="CB2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12FD2"/>
    <w:multiLevelType w:val="multilevel"/>
    <w:tmpl w:val="8A6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71EAA"/>
    <w:multiLevelType w:val="multilevel"/>
    <w:tmpl w:val="53E8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65736"/>
    <w:multiLevelType w:val="multilevel"/>
    <w:tmpl w:val="F674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F6896"/>
    <w:multiLevelType w:val="multilevel"/>
    <w:tmpl w:val="450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B771D"/>
    <w:multiLevelType w:val="multilevel"/>
    <w:tmpl w:val="B584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934C5"/>
    <w:multiLevelType w:val="multilevel"/>
    <w:tmpl w:val="33C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E6340"/>
    <w:multiLevelType w:val="multilevel"/>
    <w:tmpl w:val="C0C4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3632F"/>
    <w:multiLevelType w:val="multilevel"/>
    <w:tmpl w:val="7C5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B37EE"/>
    <w:multiLevelType w:val="multilevel"/>
    <w:tmpl w:val="DB8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D0891"/>
    <w:multiLevelType w:val="multilevel"/>
    <w:tmpl w:val="A46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F4BAC"/>
    <w:multiLevelType w:val="multilevel"/>
    <w:tmpl w:val="906E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960F9"/>
    <w:multiLevelType w:val="multilevel"/>
    <w:tmpl w:val="E5B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465CA"/>
    <w:multiLevelType w:val="multilevel"/>
    <w:tmpl w:val="A28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F2BE4"/>
    <w:multiLevelType w:val="multilevel"/>
    <w:tmpl w:val="E6B8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A63F3"/>
    <w:multiLevelType w:val="multilevel"/>
    <w:tmpl w:val="767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91DAE"/>
    <w:multiLevelType w:val="multilevel"/>
    <w:tmpl w:val="965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6"/>
  </w:num>
  <w:num w:numId="5">
    <w:abstractNumId w:val="25"/>
  </w:num>
  <w:num w:numId="6">
    <w:abstractNumId w:val="3"/>
  </w:num>
  <w:num w:numId="7">
    <w:abstractNumId w:val="18"/>
  </w:num>
  <w:num w:numId="8">
    <w:abstractNumId w:val="26"/>
  </w:num>
  <w:num w:numId="9">
    <w:abstractNumId w:val="28"/>
  </w:num>
  <w:num w:numId="10">
    <w:abstractNumId w:val="29"/>
  </w:num>
  <w:num w:numId="11">
    <w:abstractNumId w:val="17"/>
  </w:num>
  <w:num w:numId="12">
    <w:abstractNumId w:val="10"/>
  </w:num>
  <w:num w:numId="13">
    <w:abstractNumId w:val="27"/>
  </w:num>
  <w:num w:numId="14">
    <w:abstractNumId w:val="7"/>
  </w:num>
  <w:num w:numId="15">
    <w:abstractNumId w:val="11"/>
  </w:num>
  <w:num w:numId="16">
    <w:abstractNumId w:val="5"/>
  </w:num>
  <w:num w:numId="17">
    <w:abstractNumId w:val="20"/>
  </w:num>
  <w:num w:numId="18">
    <w:abstractNumId w:val="14"/>
  </w:num>
  <w:num w:numId="19">
    <w:abstractNumId w:val="4"/>
  </w:num>
  <w:num w:numId="20">
    <w:abstractNumId w:val="15"/>
  </w:num>
  <w:num w:numId="21">
    <w:abstractNumId w:val="22"/>
  </w:num>
  <w:num w:numId="22">
    <w:abstractNumId w:val="1"/>
  </w:num>
  <w:num w:numId="23">
    <w:abstractNumId w:val="12"/>
  </w:num>
  <w:num w:numId="24">
    <w:abstractNumId w:val="0"/>
  </w:num>
  <w:num w:numId="25">
    <w:abstractNumId w:val="8"/>
  </w:num>
  <w:num w:numId="26">
    <w:abstractNumId w:val="24"/>
  </w:num>
  <w:num w:numId="27">
    <w:abstractNumId w:val="23"/>
  </w:num>
  <w:num w:numId="28">
    <w:abstractNumId w:val="13"/>
  </w:num>
  <w:num w:numId="29">
    <w:abstractNumId w:val="2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41D2"/>
    <w:rsid w:val="00017B31"/>
    <w:rsid w:val="0006330F"/>
    <w:rsid w:val="0009769E"/>
    <w:rsid w:val="000C4178"/>
    <w:rsid w:val="000F3D58"/>
    <w:rsid w:val="00120A2B"/>
    <w:rsid w:val="001541D2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2013-02-27T10:17:00Z</dcterms:created>
  <dcterms:modified xsi:type="dcterms:W3CDTF">2013-02-27T10:17:00Z</dcterms:modified>
</cp:coreProperties>
</file>